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1009C" w14:textId="2A0814C3" w:rsidR="00A60FF2" w:rsidRPr="00E545EA" w:rsidRDefault="00A60FF2" w:rsidP="00A60FF2">
      <w:pPr>
        <w:pStyle w:val="NormalWeb"/>
        <w:spacing w:before="0" w:beforeAutospacing="0" w:after="0" w:afterAutospacing="0"/>
        <w:jc w:val="center"/>
        <w:rPr>
          <w:rFonts w:ascii="Open Sans" w:eastAsia="Open Sans Regular" w:hAnsi="Open Sans" w:cs="Open Sans"/>
          <w:bCs/>
          <w:position w:val="1"/>
          <w:sz w:val="44"/>
          <w:szCs w:val="44"/>
        </w:rPr>
      </w:pPr>
      <w:r>
        <w:rPr>
          <w:rFonts w:ascii="Open Sans" w:hAnsi="Open Sans"/>
          <w:color w:val="00B297"/>
          <w:sz w:val="56"/>
        </w:rPr>
        <w:t>A Esfera e a Coordenação</w:t>
      </w:r>
    </w:p>
    <w:p w14:paraId="2D89F184" w14:textId="13113FD4" w:rsidR="00A60FF2" w:rsidRPr="00E545EA" w:rsidRDefault="00A60FF2" w:rsidP="00A60FF2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</w:rPr>
      </w:pPr>
      <w:r>
        <w:rPr>
          <w:rFonts w:ascii="Open Sans" w:hAnsi="Open Sans"/>
          <w:sz w:val="48"/>
        </w:rPr>
        <w:t>Questionário</w:t>
      </w:r>
    </w:p>
    <w:p w14:paraId="0D7CD522" w14:textId="77777777" w:rsidR="00BB5344" w:rsidRPr="002E7859" w:rsidRDefault="00BB5344" w:rsidP="00733E5D">
      <w:pPr>
        <w:spacing w:after="120"/>
        <w:ind w:left="-450"/>
        <w:rPr>
          <w:rFonts w:ascii="Open Sans" w:eastAsia="Open Sans Regular" w:hAnsi="Open Sans" w:cs="Open Sans"/>
          <w:bCs/>
          <w:position w:val="1"/>
        </w:rPr>
      </w:pPr>
    </w:p>
    <w:p w14:paraId="5567173A" w14:textId="4A658042" w:rsidR="00A60FF2" w:rsidRPr="00E545EA" w:rsidRDefault="00A60FF2" w:rsidP="00733E5D">
      <w:pPr>
        <w:spacing w:after="120"/>
        <w:ind w:left="-450"/>
        <w:rPr>
          <w:rFonts w:ascii="Open Sans" w:eastAsia="Open Sans Regular" w:hAnsi="Open Sans" w:cs="Open Sans"/>
          <w:bCs/>
          <w:position w:val="1"/>
        </w:rPr>
      </w:pPr>
      <w:r>
        <w:rPr>
          <w:rFonts w:ascii="Open Sans" w:hAnsi="Open Sans"/>
        </w:rPr>
        <w:t xml:space="preserve">As seguintes afirmações são </w:t>
      </w:r>
      <w:r>
        <w:rPr>
          <w:rFonts w:ascii="Open Sans" w:hAnsi="Open Sans"/>
          <w:b/>
        </w:rPr>
        <w:t>verdadeiras</w:t>
      </w:r>
      <w:r>
        <w:rPr>
          <w:rFonts w:ascii="Open Sans" w:hAnsi="Open Sans"/>
        </w:rPr>
        <w:t xml:space="preserve"> ou </w:t>
      </w:r>
      <w:r>
        <w:rPr>
          <w:rFonts w:ascii="Open Sans" w:hAnsi="Open Sans"/>
          <w:b/>
        </w:rPr>
        <w:t>falsas</w:t>
      </w:r>
      <w:r>
        <w:rPr>
          <w:rFonts w:ascii="Open Sans" w:hAnsi="Open Sans"/>
        </w:rPr>
        <w:t>?</w:t>
      </w:r>
    </w:p>
    <w:tbl>
      <w:tblPr>
        <w:tblStyle w:val="TableGrid"/>
        <w:tblW w:w="10440" w:type="dxa"/>
        <w:tblInd w:w="-455" w:type="dxa"/>
        <w:tblBorders>
          <w:top w:val="single" w:sz="4" w:space="0" w:color="00B297"/>
          <w:left w:val="single" w:sz="4" w:space="0" w:color="00B297"/>
          <w:bottom w:val="single" w:sz="4" w:space="0" w:color="00B297"/>
          <w:right w:val="single" w:sz="4" w:space="0" w:color="00B297"/>
          <w:insideH w:val="single" w:sz="4" w:space="0" w:color="00B297"/>
          <w:insideV w:val="single" w:sz="4" w:space="0" w:color="00B297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7371"/>
        <w:gridCol w:w="1577"/>
        <w:gridCol w:w="900"/>
      </w:tblGrid>
      <w:tr w:rsidR="006B7CC7" w:rsidRPr="00E545EA" w14:paraId="4D515800" w14:textId="77777777" w:rsidTr="004936F0">
        <w:tc>
          <w:tcPr>
            <w:tcW w:w="592" w:type="dxa"/>
            <w:shd w:val="clear" w:color="auto" w:fill="00B297"/>
            <w:vAlign w:val="center"/>
          </w:tcPr>
          <w:p w14:paraId="6EF2ECA6" w14:textId="77777777" w:rsidR="00A60FF2" w:rsidRPr="00E545EA" w:rsidRDefault="00A60FF2" w:rsidP="00BB5344">
            <w:pPr>
              <w:pStyle w:val="tableheading"/>
              <w:ind w:right="75"/>
              <w:jc w:val="center"/>
              <w:rPr>
                <w:rFonts w:ascii="Open Sans" w:hAnsi="Open Sans" w:cs="Open Sans"/>
                <w:color w:val="auto"/>
              </w:rPr>
            </w:pPr>
          </w:p>
        </w:tc>
        <w:tc>
          <w:tcPr>
            <w:tcW w:w="7371" w:type="dxa"/>
            <w:shd w:val="clear" w:color="auto" w:fill="00B297"/>
          </w:tcPr>
          <w:p w14:paraId="786DA1AD" w14:textId="77777777" w:rsidR="00A60FF2" w:rsidRPr="00E545EA" w:rsidRDefault="00A60FF2" w:rsidP="00657087">
            <w:pPr>
              <w:pStyle w:val="tableheading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Afirmação</w:t>
            </w:r>
          </w:p>
        </w:tc>
        <w:tc>
          <w:tcPr>
            <w:tcW w:w="1577" w:type="dxa"/>
            <w:shd w:val="clear" w:color="auto" w:fill="00B297"/>
            <w:vAlign w:val="center"/>
          </w:tcPr>
          <w:p w14:paraId="20E04FFA" w14:textId="77777777" w:rsidR="00A60FF2" w:rsidRPr="00E545EA" w:rsidRDefault="00A60FF2" w:rsidP="00157441">
            <w:pPr>
              <w:pStyle w:val="tableheading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VERDADEIRO</w:t>
            </w:r>
          </w:p>
        </w:tc>
        <w:tc>
          <w:tcPr>
            <w:tcW w:w="900" w:type="dxa"/>
            <w:shd w:val="clear" w:color="auto" w:fill="00B297"/>
            <w:vAlign w:val="center"/>
          </w:tcPr>
          <w:p w14:paraId="5868F379" w14:textId="77777777" w:rsidR="00A60FF2" w:rsidRPr="00E545EA" w:rsidRDefault="00A60FF2" w:rsidP="00157441">
            <w:pPr>
              <w:pStyle w:val="tableheading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FALSO</w:t>
            </w:r>
          </w:p>
        </w:tc>
      </w:tr>
      <w:tr w:rsidR="00A60FF2" w:rsidRPr="00E545EA" w14:paraId="5A589263" w14:textId="77777777" w:rsidTr="004936F0">
        <w:trPr>
          <w:trHeight w:val="215"/>
        </w:trPr>
        <w:tc>
          <w:tcPr>
            <w:tcW w:w="592" w:type="dxa"/>
            <w:vAlign w:val="center"/>
          </w:tcPr>
          <w:p w14:paraId="44A9D92F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1</w:t>
            </w:r>
          </w:p>
        </w:tc>
        <w:tc>
          <w:tcPr>
            <w:tcW w:w="7371" w:type="dxa"/>
            <w:vAlign w:val="center"/>
          </w:tcPr>
          <w:p w14:paraId="42FDAA1B" w14:textId="2FE38A04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>É importante partilhar informações de avaliação com o organismo de coordenação pertinente</w:t>
            </w:r>
            <w:r w:rsidR="002E7859">
              <w:rPr>
                <w:rFonts w:ascii="Open Sans" w:hAnsi="Open Sans"/>
              </w:rPr>
              <w:t>,</w:t>
            </w:r>
            <w:r>
              <w:rPr>
                <w:rFonts w:ascii="Open Sans" w:hAnsi="Open Sans"/>
              </w:rPr>
              <w:t xml:space="preserve"> de forma atempada.</w:t>
            </w:r>
          </w:p>
        </w:tc>
        <w:tc>
          <w:tcPr>
            <w:tcW w:w="1577" w:type="dxa"/>
            <w:vAlign w:val="center"/>
          </w:tcPr>
          <w:p w14:paraId="187392F8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24DA00AC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6B7CC7" w:rsidRPr="00E545EA" w14:paraId="0842B953" w14:textId="77777777" w:rsidTr="004936F0">
        <w:tc>
          <w:tcPr>
            <w:tcW w:w="592" w:type="dxa"/>
            <w:shd w:val="clear" w:color="auto" w:fill="E1FFFB"/>
            <w:vAlign w:val="center"/>
          </w:tcPr>
          <w:p w14:paraId="12F4B9E2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2</w:t>
            </w:r>
          </w:p>
        </w:tc>
        <w:tc>
          <w:tcPr>
            <w:tcW w:w="7371" w:type="dxa"/>
            <w:shd w:val="clear" w:color="auto" w:fill="E1FFFB"/>
            <w:vAlign w:val="center"/>
          </w:tcPr>
          <w:p w14:paraId="518BC561" w14:textId="47329897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>As atividades de acompanhamento do WASH orientadas para a promoção da higiene devem ser coordenadas com os agentes do programa de saúde.</w:t>
            </w:r>
          </w:p>
        </w:tc>
        <w:tc>
          <w:tcPr>
            <w:tcW w:w="1577" w:type="dxa"/>
            <w:shd w:val="clear" w:color="auto" w:fill="E1FFFB"/>
            <w:vAlign w:val="center"/>
          </w:tcPr>
          <w:p w14:paraId="7A1FEF81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36341CD4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A60FF2" w:rsidRPr="00E545EA" w14:paraId="6200C5CF" w14:textId="77777777" w:rsidTr="004936F0">
        <w:tc>
          <w:tcPr>
            <w:tcW w:w="592" w:type="dxa"/>
            <w:vAlign w:val="center"/>
          </w:tcPr>
          <w:p w14:paraId="02CC637F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3</w:t>
            </w:r>
          </w:p>
        </w:tc>
        <w:tc>
          <w:tcPr>
            <w:tcW w:w="7371" w:type="dxa"/>
            <w:vAlign w:val="center"/>
          </w:tcPr>
          <w:p w14:paraId="7611B768" w14:textId="0B2BB717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>Numa emergência, a OCHA deve assumir a liderança para coordenar a intervenção humanitária.</w:t>
            </w:r>
          </w:p>
        </w:tc>
        <w:tc>
          <w:tcPr>
            <w:tcW w:w="1577" w:type="dxa"/>
            <w:vAlign w:val="center"/>
          </w:tcPr>
          <w:p w14:paraId="20B5FA6F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0055433A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6B7CC7" w:rsidRPr="00E545EA" w14:paraId="5EE26883" w14:textId="77777777" w:rsidTr="004936F0">
        <w:tc>
          <w:tcPr>
            <w:tcW w:w="592" w:type="dxa"/>
            <w:shd w:val="clear" w:color="auto" w:fill="E1FFFB"/>
            <w:vAlign w:val="center"/>
          </w:tcPr>
          <w:p w14:paraId="52B189D0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4</w:t>
            </w:r>
          </w:p>
        </w:tc>
        <w:tc>
          <w:tcPr>
            <w:tcW w:w="7371" w:type="dxa"/>
            <w:shd w:val="clear" w:color="auto" w:fill="E1FFFB"/>
            <w:vAlign w:val="center"/>
          </w:tcPr>
          <w:p w14:paraId="0000E335" w14:textId="7B14AA39" w:rsidR="00A60FF2" w:rsidRPr="00E545EA" w:rsidRDefault="00143594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>Quando cada agência realiza uma análise independente da situação humanitária num local, deve selecionar essa área geográfica para o seu próprio plano de resposta</w:t>
            </w:r>
            <w:r w:rsidR="002E7859">
              <w:rPr>
                <w:rFonts w:ascii="Open Sans" w:hAnsi="Open Sans"/>
              </w:rPr>
              <w:t>,</w:t>
            </w:r>
            <w:r>
              <w:rPr>
                <w:rFonts w:ascii="Open Sans" w:hAnsi="Open Sans"/>
              </w:rPr>
              <w:t xml:space="preserve"> com base na sua própria informação e experiência.</w:t>
            </w:r>
          </w:p>
        </w:tc>
        <w:tc>
          <w:tcPr>
            <w:tcW w:w="1577" w:type="dxa"/>
            <w:shd w:val="clear" w:color="auto" w:fill="E1FFFB"/>
            <w:vAlign w:val="center"/>
          </w:tcPr>
          <w:p w14:paraId="3D191849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06C56C8F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A60FF2" w:rsidRPr="00E545EA" w14:paraId="79BD2D11" w14:textId="77777777" w:rsidTr="004936F0">
        <w:tc>
          <w:tcPr>
            <w:tcW w:w="592" w:type="dxa"/>
            <w:vAlign w:val="center"/>
          </w:tcPr>
          <w:p w14:paraId="2ED05D21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5</w:t>
            </w:r>
          </w:p>
        </w:tc>
        <w:tc>
          <w:tcPr>
            <w:tcW w:w="7371" w:type="dxa"/>
            <w:vAlign w:val="center"/>
          </w:tcPr>
          <w:p w14:paraId="0A919847" w14:textId="7F6868C2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>Qualquer pessoa da minha organização pode assistir a uma reunião de coordenação, o que importa é estar representada e ser aconselhada sobre os principais desenvolvimentos.</w:t>
            </w:r>
          </w:p>
        </w:tc>
        <w:tc>
          <w:tcPr>
            <w:tcW w:w="1577" w:type="dxa"/>
            <w:vAlign w:val="center"/>
          </w:tcPr>
          <w:p w14:paraId="0E8B94BE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1BD5F24D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6B7CC7" w:rsidRPr="00E545EA" w14:paraId="36DDD8A8" w14:textId="77777777" w:rsidTr="004936F0">
        <w:tc>
          <w:tcPr>
            <w:tcW w:w="592" w:type="dxa"/>
            <w:shd w:val="clear" w:color="auto" w:fill="E1FFFB"/>
            <w:vAlign w:val="center"/>
          </w:tcPr>
          <w:p w14:paraId="6976CEBF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6</w:t>
            </w:r>
          </w:p>
        </w:tc>
        <w:tc>
          <w:tcPr>
            <w:tcW w:w="7371" w:type="dxa"/>
            <w:shd w:val="clear" w:color="auto" w:fill="E1FFFB"/>
            <w:vAlign w:val="center"/>
          </w:tcPr>
          <w:p w14:paraId="0DE6730B" w14:textId="65E47ABF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 xml:space="preserve">Embora a prestação de serviços humanitários deva ser coordenada, </w:t>
            </w:r>
            <w:r w:rsidR="00F70C51">
              <w:rPr>
                <w:rFonts w:ascii="Open Sans" w:hAnsi="Open Sans"/>
              </w:rPr>
              <w:t>a defensa dos interesses humanitários</w:t>
            </w:r>
            <w:r>
              <w:rPr>
                <w:rFonts w:ascii="Open Sans" w:hAnsi="Open Sans"/>
              </w:rPr>
              <w:t xml:space="preserve"> - devido à sua natureza e relação com a angariação de fundos - deve ser </w:t>
            </w:r>
            <w:r w:rsidR="002E7859">
              <w:rPr>
                <w:rFonts w:ascii="Open Sans" w:hAnsi="Open Sans"/>
              </w:rPr>
              <w:t>realizad</w:t>
            </w:r>
            <w:r w:rsidR="009A3A5E">
              <w:rPr>
                <w:rFonts w:ascii="Open Sans" w:hAnsi="Open Sans"/>
              </w:rPr>
              <w:t>a</w:t>
            </w:r>
            <w:r>
              <w:rPr>
                <w:rFonts w:ascii="Open Sans" w:hAnsi="Open Sans"/>
              </w:rPr>
              <w:t xml:space="preserve"> por cada agência de forma independente.</w:t>
            </w:r>
          </w:p>
        </w:tc>
        <w:tc>
          <w:tcPr>
            <w:tcW w:w="1577" w:type="dxa"/>
            <w:shd w:val="clear" w:color="auto" w:fill="E1FFFB"/>
            <w:vAlign w:val="center"/>
          </w:tcPr>
          <w:p w14:paraId="5CD837EC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6DE64B26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A60FF2" w:rsidRPr="00E545EA" w14:paraId="77291DC7" w14:textId="77777777" w:rsidTr="004936F0">
        <w:tc>
          <w:tcPr>
            <w:tcW w:w="592" w:type="dxa"/>
            <w:vAlign w:val="center"/>
          </w:tcPr>
          <w:p w14:paraId="77CD7593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7</w:t>
            </w:r>
          </w:p>
        </w:tc>
        <w:tc>
          <w:tcPr>
            <w:tcW w:w="7371" w:type="dxa"/>
            <w:vAlign w:val="center"/>
          </w:tcPr>
          <w:p w14:paraId="202492B9" w14:textId="3291A35C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>É importante partilhar na plataforma de coordenação não só o progresso da implementação da minha organização, mas também quaisquer atrasos ou deficiências importantes.</w:t>
            </w:r>
          </w:p>
        </w:tc>
        <w:tc>
          <w:tcPr>
            <w:tcW w:w="1577" w:type="dxa"/>
            <w:vAlign w:val="center"/>
          </w:tcPr>
          <w:p w14:paraId="361D82AC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252AD48E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6B7CC7" w:rsidRPr="00E545EA" w14:paraId="188D6880" w14:textId="77777777" w:rsidTr="004936F0">
        <w:tc>
          <w:tcPr>
            <w:tcW w:w="592" w:type="dxa"/>
            <w:shd w:val="clear" w:color="auto" w:fill="E1FFFB"/>
            <w:vAlign w:val="center"/>
          </w:tcPr>
          <w:p w14:paraId="7F686575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8</w:t>
            </w:r>
          </w:p>
        </w:tc>
        <w:tc>
          <w:tcPr>
            <w:tcW w:w="7371" w:type="dxa"/>
            <w:shd w:val="clear" w:color="auto" w:fill="E1FFFB"/>
            <w:vAlign w:val="center"/>
          </w:tcPr>
          <w:p w14:paraId="6309379B" w14:textId="461CC4E8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>O Manual Esfera não pode ser utilizado como instrumento de coordenação na maioria das respostas</w:t>
            </w:r>
            <w:r w:rsidR="002E7859">
              <w:rPr>
                <w:rFonts w:ascii="Open Sans" w:hAnsi="Open Sans"/>
              </w:rPr>
              <w:t>,</w:t>
            </w:r>
            <w:r>
              <w:rPr>
                <w:rFonts w:ascii="Open Sans" w:hAnsi="Open Sans"/>
              </w:rPr>
              <w:t xml:space="preserve"> porque não é propriedade de nenhum</w:t>
            </w:r>
            <w:r w:rsidR="004936F0">
              <w:rPr>
                <w:rFonts w:ascii="Open Sans" w:hAnsi="Open Sans"/>
              </w:rPr>
              <w:t>a</w:t>
            </w:r>
            <w:r>
              <w:rPr>
                <w:rFonts w:ascii="Open Sans" w:hAnsi="Open Sans"/>
              </w:rPr>
              <w:t xml:space="preserve"> d</w:t>
            </w:r>
            <w:r w:rsidR="004936F0">
              <w:rPr>
                <w:rFonts w:ascii="Open Sans" w:hAnsi="Open Sans"/>
              </w:rPr>
              <w:t>a</w:t>
            </w:r>
            <w:r>
              <w:rPr>
                <w:rFonts w:ascii="Open Sans" w:hAnsi="Open Sans"/>
              </w:rPr>
              <w:t xml:space="preserve">s </w:t>
            </w:r>
            <w:r w:rsidR="004936F0">
              <w:rPr>
                <w:rFonts w:ascii="Open Sans" w:hAnsi="Open Sans"/>
              </w:rPr>
              <w:t>organizações prestadores de auxílio</w:t>
            </w:r>
            <w:r>
              <w:rPr>
                <w:rFonts w:ascii="Open Sans" w:hAnsi="Open Sans"/>
              </w:rPr>
              <w:t>.</w:t>
            </w:r>
          </w:p>
        </w:tc>
        <w:tc>
          <w:tcPr>
            <w:tcW w:w="1577" w:type="dxa"/>
            <w:shd w:val="clear" w:color="auto" w:fill="E1FFFB"/>
            <w:vAlign w:val="center"/>
          </w:tcPr>
          <w:p w14:paraId="73A72A1E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6F07C7EB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A60FF2" w:rsidRPr="00E545EA" w14:paraId="32CC8EE5" w14:textId="77777777" w:rsidTr="004936F0">
        <w:tc>
          <w:tcPr>
            <w:tcW w:w="592" w:type="dxa"/>
            <w:vAlign w:val="center"/>
          </w:tcPr>
          <w:p w14:paraId="03EEC029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9</w:t>
            </w:r>
          </w:p>
        </w:tc>
        <w:tc>
          <w:tcPr>
            <w:tcW w:w="7371" w:type="dxa"/>
            <w:vAlign w:val="center"/>
          </w:tcPr>
          <w:p w14:paraId="794E8735" w14:textId="6B1D1AA7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 xml:space="preserve">Não vale a pena </w:t>
            </w:r>
            <w:r w:rsidR="004936F0">
              <w:rPr>
                <w:rFonts w:ascii="Open Sans" w:hAnsi="Open Sans"/>
              </w:rPr>
              <w:t xml:space="preserve">fazer trabalho de </w:t>
            </w:r>
            <w:r>
              <w:rPr>
                <w:rFonts w:ascii="Open Sans" w:hAnsi="Open Sans"/>
              </w:rPr>
              <w:t>coordena</w:t>
            </w:r>
            <w:r w:rsidR="004936F0">
              <w:rPr>
                <w:rFonts w:ascii="Open Sans" w:hAnsi="Open Sans"/>
              </w:rPr>
              <w:t>ção</w:t>
            </w:r>
            <w:r>
              <w:rPr>
                <w:rFonts w:ascii="Open Sans" w:hAnsi="Open Sans"/>
              </w:rPr>
              <w:t xml:space="preserve"> com parceiros </w:t>
            </w:r>
            <w:r w:rsidR="004936F0">
              <w:rPr>
                <w:rFonts w:ascii="Open Sans" w:hAnsi="Open Sans"/>
              </w:rPr>
              <w:t xml:space="preserve">envolvidos em </w:t>
            </w:r>
            <w:r>
              <w:rPr>
                <w:rFonts w:ascii="Open Sans" w:hAnsi="Open Sans"/>
              </w:rPr>
              <w:t xml:space="preserve">programas de violência sexual e de género se o seu programa for concebido para responder a um grave </w:t>
            </w:r>
            <w:r w:rsidR="004936F0">
              <w:rPr>
                <w:rFonts w:ascii="Open Sans" w:hAnsi="Open Sans"/>
              </w:rPr>
              <w:t>problema de sub</w:t>
            </w:r>
            <w:r>
              <w:rPr>
                <w:rFonts w:ascii="Open Sans" w:hAnsi="Open Sans"/>
              </w:rPr>
              <w:t>nutrição aguda.</w:t>
            </w:r>
          </w:p>
        </w:tc>
        <w:tc>
          <w:tcPr>
            <w:tcW w:w="1577" w:type="dxa"/>
            <w:vAlign w:val="center"/>
          </w:tcPr>
          <w:p w14:paraId="54A603CC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7FEC9993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6B7CC7" w:rsidRPr="00E545EA" w14:paraId="0F97C468" w14:textId="77777777" w:rsidTr="004936F0">
        <w:tc>
          <w:tcPr>
            <w:tcW w:w="592" w:type="dxa"/>
            <w:shd w:val="clear" w:color="auto" w:fill="E1FFFB"/>
            <w:vAlign w:val="center"/>
          </w:tcPr>
          <w:p w14:paraId="6C92AFA5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10</w:t>
            </w:r>
          </w:p>
        </w:tc>
        <w:tc>
          <w:tcPr>
            <w:tcW w:w="7371" w:type="dxa"/>
            <w:shd w:val="clear" w:color="auto" w:fill="E1FFFB"/>
            <w:vAlign w:val="center"/>
          </w:tcPr>
          <w:p w14:paraId="52693F95" w14:textId="6CE56877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>Embora a coordenação ocorra principalmente em setores específicos, as informações pertinentes devem ser partilhadas entre todos os setores.</w:t>
            </w:r>
          </w:p>
        </w:tc>
        <w:tc>
          <w:tcPr>
            <w:tcW w:w="1577" w:type="dxa"/>
            <w:shd w:val="clear" w:color="auto" w:fill="E1FFFB"/>
            <w:vAlign w:val="center"/>
          </w:tcPr>
          <w:p w14:paraId="2AB90DAC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184E5175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A60FF2" w:rsidRPr="00E545EA" w14:paraId="44A96122" w14:textId="77777777" w:rsidTr="004936F0">
        <w:tc>
          <w:tcPr>
            <w:tcW w:w="592" w:type="dxa"/>
            <w:vAlign w:val="center"/>
          </w:tcPr>
          <w:p w14:paraId="4C568786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11</w:t>
            </w:r>
          </w:p>
        </w:tc>
        <w:tc>
          <w:tcPr>
            <w:tcW w:w="7371" w:type="dxa"/>
            <w:vAlign w:val="center"/>
          </w:tcPr>
          <w:p w14:paraId="2E99ECEF" w14:textId="37E594E4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>Um “cluster” é um grupo de agências da ONU que operam numa emergência.</w:t>
            </w:r>
          </w:p>
        </w:tc>
        <w:tc>
          <w:tcPr>
            <w:tcW w:w="1577" w:type="dxa"/>
            <w:vAlign w:val="center"/>
          </w:tcPr>
          <w:p w14:paraId="62234AB7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7EF629AA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6B7CC7" w:rsidRPr="00E545EA" w14:paraId="04B1FAE9" w14:textId="77777777" w:rsidTr="004936F0">
        <w:tc>
          <w:tcPr>
            <w:tcW w:w="592" w:type="dxa"/>
            <w:shd w:val="clear" w:color="auto" w:fill="E1FFFB"/>
            <w:vAlign w:val="center"/>
          </w:tcPr>
          <w:p w14:paraId="3100314A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12</w:t>
            </w:r>
          </w:p>
        </w:tc>
        <w:tc>
          <w:tcPr>
            <w:tcW w:w="7371" w:type="dxa"/>
            <w:shd w:val="clear" w:color="auto" w:fill="E1FFFB"/>
            <w:vAlign w:val="center"/>
          </w:tcPr>
          <w:p w14:paraId="6F6FB8D9" w14:textId="21B6C216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>Se as forças militares trouxerem conhecimentos e recursos específicos - incluindo segurança, logística, transporte e comunicações</w:t>
            </w:r>
            <w:r w:rsidR="009A3A5E">
              <w:rPr>
                <w:rFonts w:ascii="Open Sans" w:hAnsi="Open Sans"/>
              </w:rPr>
              <w:t>,</w:t>
            </w:r>
            <w:r>
              <w:rPr>
                <w:rFonts w:ascii="Open Sans" w:hAnsi="Open Sans"/>
              </w:rPr>
              <w:t xml:space="preserve"> numa resposta de emergência - não deverá haver preocupações humanitárias na coordenação com elas.</w:t>
            </w:r>
          </w:p>
        </w:tc>
        <w:tc>
          <w:tcPr>
            <w:tcW w:w="1577" w:type="dxa"/>
            <w:shd w:val="clear" w:color="auto" w:fill="E1FFFB"/>
            <w:vAlign w:val="center"/>
          </w:tcPr>
          <w:p w14:paraId="2C135C49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7DC8354E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A60FF2" w:rsidRPr="00E545EA" w14:paraId="73349511" w14:textId="77777777" w:rsidTr="004936F0">
        <w:tc>
          <w:tcPr>
            <w:tcW w:w="592" w:type="dxa"/>
            <w:vAlign w:val="center"/>
          </w:tcPr>
          <w:p w14:paraId="3AF35CA4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13</w:t>
            </w:r>
          </w:p>
        </w:tc>
        <w:tc>
          <w:tcPr>
            <w:tcW w:w="7371" w:type="dxa"/>
            <w:vAlign w:val="center"/>
          </w:tcPr>
          <w:p w14:paraId="2535C88F" w14:textId="437A1B2A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>É importante coordenar e promover boas práticas humanitárias com o setor privado</w:t>
            </w:r>
            <w:r w:rsidR="00FE4C7E">
              <w:rPr>
                <w:rFonts w:ascii="Open Sans" w:hAnsi="Open Sans"/>
              </w:rPr>
              <w:t>,</w:t>
            </w:r>
            <w:r>
              <w:rPr>
                <w:rFonts w:ascii="Open Sans" w:hAnsi="Open Sans"/>
              </w:rPr>
              <w:t xml:space="preserve"> quando este está envolvido na resposta de emergência.</w:t>
            </w:r>
          </w:p>
        </w:tc>
        <w:tc>
          <w:tcPr>
            <w:tcW w:w="1577" w:type="dxa"/>
            <w:vAlign w:val="center"/>
          </w:tcPr>
          <w:p w14:paraId="1B5BECA5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30922F7D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A60FF2" w:rsidRPr="00E545EA" w14:paraId="7286B904" w14:textId="77777777" w:rsidTr="004936F0">
        <w:tc>
          <w:tcPr>
            <w:tcW w:w="592" w:type="dxa"/>
            <w:shd w:val="clear" w:color="auto" w:fill="E1FFFB"/>
            <w:vAlign w:val="center"/>
          </w:tcPr>
          <w:p w14:paraId="223F6C00" w14:textId="2CE6E1F9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lastRenderedPageBreak/>
              <w:t>14</w:t>
            </w:r>
          </w:p>
        </w:tc>
        <w:tc>
          <w:tcPr>
            <w:tcW w:w="7371" w:type="dxa"/>
            <w:shd w:val="clear" w:color="auto" w:fill="E1FFFB"/>
            <w:vAlign w:val="center"/>
          </w:tcPr>
          <w:p w14:paraId="761EFB50" w14:textId="4237BF46" w:rsidR="00A60FF2" w:rsidRPr="00E545EA" w:rsidRDefault="00BD33E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 xml:space="preserve">Dado que o setor da saúde é complexo e envolve os seus próprios profissionais, é menos útil </w:t>
            </w:r>
            <w:r w:rsidR="00FE4C7E">
              <w:rPr>
                <w:rFonts w:ascii="Open Sans" w:hAnsi="Open Sans"/>
              </w:rPr>
              <w:t xml:space="preserve">estabelecer </w:t>
            </w:r>
            <w:r>
              <w:rPr>
                <w:rFonts w:ascii="Open Sans" w:hAnsi="Open Sans"/>
              </w:rPr>
              <w:t>coordena</w:t>
            </w:r>
            <w:r w:rsidR="00FE4C7E">
              <w:rPr>
                <w:rFonts w:ascii="Open Sans" w:hAnsi="Open Sans"/>
              </w:rPr>
              <w:t>ção</w:t>
            </w:r>
            <w:r>
              <w:rPr>
                <w:rFonts w:ascii="Open Sans" w:hAnsi="Open Sans"/>
              </w:rPr>
              <w:t xml:space="preserve"> com este setor do que com outros.</w:t>
            </w:r>
          </w:p>
        </w:tc>
        <w:tc>
          <w:tcPr>
            <w:tcW w:w="1577" w:type="dxa"/>
            <w:shd w:val="clear" w:color="auto" w:fill="E1FFFB"/>
            <w:vAlign w:val="center"/>
          </w:tcPr>
          <w:p w14:paraId="1D9C1890" w14:textId="3FC2250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08670064" w14:textId="1613622D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  <w:tr w:rsidR="00A60FF2" w:rsidRPr="00E545EA" w14:paraId="659A747C" w14:textId="77777777" w:rsidTr="004936F0">
        <w:tc>
          <w:tcPr>
            <w:tcW w:w="592" w:type="dxa"/>
            <w:vAlign w:val="center"/>
          </w:tcPr>
          <w:p w14:paraId="3574D39A" w14:textId="006D3D41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/>
                <w:color w:val="auto"/>
              </w:rPr>
              <w:t>15</w:t>
            </w:r>
          </w:p>
        </w:tc>
        <w:tc>
          <w:tcPr>
            <w:tcW w:w="7371" w:type="dxa"/>
            <w:vAlign w:val="center"/>
          </w:tcPr>
          <w:p w14:paraId="5DE68C3E" w14:textId="6E4DE666" w:rsidR="00A60FF2" w:rsidRPr="00E545EA" w:rsidRDefault="00FE4C7E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</w:rPr>
            </w:pPr>
            <w:r>
              <w:rPr>
                <w:rFonts w:ascii="Open Sans" w:hAnsi="Open Sans"/>
              </w:rPr>
              <w:t xml:space="preserve">O trabalho de </w:t>
            </w:r>
            <w:r w:rsidR="00E7560A">
              <w:rPr>
                <w:rFonts w:ascii="Open Sans" w:hAnsi="Open Sans"/>
              </w:rPr>
              <w:t xml:space="preserve">coordenação com as autoridades locais no </w:t>
            </w:r>
            <w:r>
              <w:rPr>
                <w:rFonts w:ascii="Open Sans" w:hAnsi="Open Sans"/>
              </w:rPr>
              <w:t xml:space="preserve">“Shelter Cluster” (Grupo dedicado ao </w:t>
            </w:r>
            <w:r w:rsidR="00E7560A">
              <w:rPr>
                <w:rFonts w:ascii="Open Sans" w:hAnsi="Open Sans"/>
              </w:rPr>
              <w:t xml:space="preserve">Abrigo) </w:t>
            </w:r>
            <w:r>
              <w:rPr>
                <w:rFonts w:ascii="Open Sans" w:hAnsi="Open Sans"/>
              </w:rPr>
              <w:t>ajuda a garantir</w:t>
            </w:r>
            <w:r w:rsidR="00E7560A">
              <w:rPr>
                <w:rFonts w:ascii="Open Sans" w:hAnsi="Open Sans"/>
              </w:rPr>
              <w:t xml:space="preserve"> a</w:t>
            </w:r>
            <w:r>
              <w:rPr>
                <w:rFonts w:ascii="Open Sans" w:hAnsi="Open Sans"/>
              </w:rPr>
              <w:t xml:space="preserve"> satisfação da</w:t>
            </w:r>
            <w:r w:rsidR="00E7560A">
              <w:rPr>
                <w:rFonts w:ascii="Open Sans" w:hAnsi="Open Sans"/>
              </w:rPr>
              <w:t xml:space="preserve">s necessidades e </w:t>
            </w:r>
            <w:r>
              <w:rPr>
                <w:rFonts w:ascii="Open Sans" w:hAnsi="Open Sans"/>
              </w:rPr>
              <w:t>a não-duplicação de</w:t>
            </w:r>
            <w:r w:rsidR="00E7560A">
              <w:rPr>
                <w:rFonts w:ascii="Open Sans" w:hAnsi="Open Sans"/>
              </w:rPr>
              <w:t xml:space="preserve"> esforços, e pode </w:t>
            </w:r>
            <w:r>
              <w:rPr>
                <w:rFonts w:ascii="Open Sans" w:hAnsi="Open Sans"/>
              </w:rPr>
              <w:t>ser influente n</w:t>
            </w:r>
            <w:r w:rsidR="00E7560A">
              <w:rPr>
                <w:rFonts w:ascii="Open Sans" w:hAnsi="Open Sans"/>
              </w:rPr>
              <w:t xml:space="preserve">a otimização da segurança alimentar e </w:t>
            </w:r>
            <w:r>
              <w:rPr>
                <w:rFonts w:ascii="Open Sans" w:hAnsi="Open Sans"/>
              </w:rPr>
              <w:t>d</w:t>
            </w:r>
            <w:r w:rsidR="00E7560A">
              <w:rPr>
                <w:rFonts w:ascii="Open Sans" w:hAnsi="Open Sans"/>
              </w:rPr>
              <w:t>as respostas nutricionais.</w:t>
            </w:r>
          </w:p>
        </w:tc>
        <w:tc>
          <w:tcPr>
            <w:tcW w:w="1577" w:type="dxa"/>
            <w:vAlign w:val="center"/>
          </w:tcPr>
          <w:p w14:paraId="709F036F" w14:textId="00AA09A8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1F539C28" w14:textId="16411314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</w:pPr>
            <w:r>
              <w:rPr>
                <w:rFonts w:ascii="Open Sans" w:hAnsi="Open Sans"/>
                <w:color w:val="4472C4" w:themeColor="accent1"/>
                <w:sz w:val="28"/>
              </w:rPr>
              <w:t></w:t>
            </w:r>
          </w:p>
        </w:tc>
      </w:tr>
    </w:tbl>
    <w:p w14:paraId="6C0A37ED" w14:textId="77777777" w:rsidR="00EB57E8" w:rsidRPr="00E545EA" w:rsidRDefault="00EB57E8" w:rsidP="00C6573E">
      <w:pPr>
        <w:rPr>
          <w:rFonts w:ascii="Open Sans" w:hAnsi="Open Sans" w:cs="Open Sans"/>
          <w:lang w:val="en-GB"/>
        </w:rPr>
      </w:pPr>
    </w:p>
    <w:sectPr w:rsidR="00EB57E8" w:rsidRPr="00E545EA" w:rsidSect="00157441">
      <w:pgSz w:w="11906" w:h="16838" w:code="9"/>
      <w:pgMar w:top="5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FF2"/>
    <w:rsid w:val="001008C9"/>
    <w:rsid w:val="00143594"/>
    <w:rsid w:val="00157441"/>
    <w:rsid w:val="00227E57"/>
    <w:rsid w:val="002945D3"/>
    <w:rsid w:val="002E7859"/>
    <w:rsid w:val="003C1C61"/>
    <w:rsid w:val="004936F0"/>
    <w:rsid w:val="00615B56"/>
    <w:rsid w:val="00670279"/>
    <w:rsid w:val="006B7CC7"/>
    <w:rsid w:val="00733E5D"/>
    <w:rsid w:val="00774F56"/>
    <w:rsid w:val="007D42FF"/>
    <w:rsid w:val="008113BE"/>
    <w:rsid w:val="008730CD"/>
    <w:rsid w:val="00946037"/>
    <w:rsid w:val="009917EC"/>
    <w:rsid w:val="009A3A5E"/>
    <w:rsid w:val="00A60FF2"/>
    <w:rsid w:val="00B204E1"/>
    <w:rsid w:val="00BB5344"/>
    <w:rsid w:val="00BD33E2"/>
    <w:rsid w:val="00BF7710"/>
    <w:rsid w:val="00C02FEE"/>
    <w:rsid w:val="00C6573E"/>
    <w:rsid w:val="00CE52A2"/>
    <w:rsid w:val="00D664A1"/>
    <w:rsid w:val="00DA6A7D"/>
    <w:rsid w:val="00DE156E"/>
    <w:rsid w:val="00DE188D"/>
    <w:rsid w:val="00E0178E"/>
    <w:rsid w:val="00E545EA"/>
    <w:rsid w:val="00E7560A"/>
    <w:rsid w:val="00EB57E8"/>
    <w:rsid w:val="00EC5BEB"/>
    <w:rsid w:val="00F27424"/>
    <w:rsid w:val="00F66236"/>
    <w:rsid w:val="00F70C51"/>
    <w:rsid w:val="00F93716"/>
    <w:rsid w:val="00FE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63F73"/>
  <w15:chartTrackingRefBased/>
  <w15:docId w15:val="{D8AD7B98-2E74-4AEF-9ECF-D256E6121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60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6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aliases w:val="t"/>
    <w:basedOn w:val="Normal"/>
    <w:qFormat/>
    <w:rsid w:val="00A60FF2"/>
    <w:pPr>
      <w:spacing w:before="80" w:after="80" w:line="280" w:lineRule="atLeast"/>
    </w:pPr>
    <w:rPr>
      <w:rFonts w:ascii="Times New Roman" w:eastAsia="Times New Roman" w:hAnsi="Times New Roman" w:cs="Times New Roman"/>
      <w:bCs/>
      <w:sz w:val="24"/>
      <w:szCs w:val="24"/>
      <w:lang w:eastAsia="es-ES"/>
    </w:rPr>
  </w:style>
  <w:style w:type="paragraph" w:customStyle="1" w:styleId="tableheading">
    <w:name w:val="table heading"/>
    <w:aliases w:val="th"/>
    <w:basedOn w:val="table"/>
    <w:qFormat/>
    <w:rsid w:val="00A60FF2"/>
    <w:pPr>
      <w:keepNext/>
    </w:pPr>
    <w:rPr>
      <w:rFonts w:ascii="Tahoma" w:hAnsi="Tahoma"/>
      <w:b/>
      <w:color w:val="44546A" w:themeColor="text2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71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71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0BBBAE-B5C3-4AC3-BA84-DBBA9FB826E5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0E32DAEE-080C-43FF-9025-A4B95525A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7BC2A5-7F4D-44E5-AEE2-B2275A658F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424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16 sphere and Coordination Quiz</dc:title>
  <dc:subject>tradução de en-pt</dc:subject>
  <dc:creator>DeVon Solomon;Luísa Merki</dc:creator>
  <cp:keywords>2021107</cp:keywords>
  <dc:description/>
  <cp:lastModifiedBy>Luisa</cp:lastModifiedBy>
  <cp:revision>11</cp:revision>
  <dcterms:created xsi:type="dcterms:W3CDTF">2019-04-23T07:56:00Z</dcterms:created>
  <dcterms:modified xsi:type="dcterms:W3CDTF">2021-07-13T15:33:00Z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6889000</vt:r8>
  </property>
</Properties>
</file>